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CE3C5B">
      <w:pPr>
        <w:pStyle w:val="2"/>
        <w:widowControl/>
        <w:spacing w:beforeAutospacing="0" w:afterAutospacing="0" w:line="560" w:lineRule="exact"/>
        <w:rPr>
          <w:rFonts w:hint="default"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仿宋_GB2312"/>
          <w:sz w:val="32"/>
          <w:szCs w:val="32"/>
        </w:rPr>
        <w:t>附件11 常见人工智能工具分类及其教育适用性指南（建议版）</w:t>
      </w:r>
    </w:p>
    <w:p w14:paraId="26EE66F2">
      <w:pPr>
        <w:widowControl/>
        <w:ind w:firstLine="640" w:firstLineChars="200"/>
        <w:rPr>
          <w:rFonts w:ascii="Times New Roman" w:hAnsi="Times New Roman" w:eastAsia="仿宋_GB2312" w:cs="仿宋_GB2312"/>
          <w:b/>
          <w:bCs/>
          <w:sz w:val="32"/>
          <w:szCs w:val="32"/>
        </w:rPr>
      </w:pPr>
      <w:r>
        <w:rPr>
          <w:rFonts w:ascii="Times New Roman" w:hAnsi="Times New Roman" w:eastAsia="仿宋_GB2312" w:cs="仿宋_GB2312"/>
          <w:sz w:val="32"/>
          <w:szCs w:val="32"/>
        </w:rPr>
        <w:t>具体可参考AI教创中心统一发布和更新的</w:t>
      </w:r>
      <w:r>
        <w:rPr>
          <w:rFonts w:ascii="Calibri" w:hAnsi="Calibri" w:eastAsia="仿宋_GB2312" w:cs="Calibri"/>
          <w:sz w:val="32"/>
          <w:szCs w:val="32"/>
        </w:rPr>
        <w:t>工具清单</w:t>
      </w:r>
      <w:r>
        <w:rPr>
          <w:rFonts w:ascii="Times New Roman" w:hAnsi="Times New Roman" w:eastAsia="仿宋_GB2312" w:cs="仿宋_GB2312"/>
          <w:sz w:val="32"/>
          <w:szCs w:val="32"/>
        </w:rPr>
        <w:t>。</w:t>
      </w:r>
    </w:p>
    <w:p w14:paraId="22F01D5E">
      <w:pPr>
        <w:rPr>
          <w:rFonts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sz w:val="32"/>
          <w:szCs w:val="32"/>
        </w:rPr>
        <w:t>表</w:t>
      </w:r>
      <w:r>
        <w:rPr>
          <w:rFonts w:ascii="Times New Roman" w:hAnsi="Times New Roman" w:eastAsia="仿宋_GB2312" w:cs="仿宋_GB2312"/>
          <w:sz w:val="32"/>
          <w:szCs w:val="32"/>
        </w:rPr>
        <w:t xml:space="preserve">  </w:t>
      </w:r>
      <w:r>
        <w:rPr>
          <w:rFonts w:hint="eastAsia" w:ascii="Times New Roman" w:hAnsi="Times New Roman" w:eastAsia="仿宋_GB2312" w:cs="仿宋_GB2312"/>
          <w:sz w:val="32"/>
          <w:szCs w:val="32"/>
        </w:rPr>
        <w:t>常见人工智能工具功能类别及适用性指引（示例）</w:t>
      </w:r>
    </w:p>
    <w:tbl>
      <w:tblPr>
        <w:tblStyle w:val="5"/>
        <w:tblW w:w="855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7" w:type="dxa"/>
          <w:left w:w="17" w:type="dxa"/>
          <w:bottom w:w="17" w:type="dxa"/>
          <w:right w:w="17" w:type="dxa"/>
        </w:tblCellMar>
      </w:tblPr>
      <w:tblGrid>
        <w:gridCol w:w="1554"/>
        <w:gridCol w:w="1693"/>
        <w:gridCol w:w="2131"/>
        <w:gridCol w:w="3180"/>
      </w:tblGrid>
      <w:tr w14:paraId="75986E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644" w:hRule="atLeast"/>
          <w:tblHeader/>
        </w:trPr>
        <w:tc>
          <w:tcPr>
            <w:tcW w:w="1554" w:type="dxa"/>
            <w:vAlign w:val="center"/>
          </w:tcPr>
          <w:p w14:paraId="70A3759D">
            <w:pPr>
              <w:jc w:val="center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类别</w:t>
            </w:r>
          </w:p>
        </w:tc>
        <w:tc>
          <w:tcPr>
            <w:tcW w:w="1693" w:type="dxa"/>
            <w:vAlign w:val="center"/>
          </w:tcPr>
          <w:p w14:paraId="49E3F967">
            <w:pPr>
              <w:jc w:val="center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主要功能</w:t>
            </w:r>
          </w:p>
        </w:tc>
        <w:tc>
          <w:tcPr>
            <w:tcW w:w="2131" w:type="dxa"/>
            <w:vAlign w:val="center"/>
          </w:tcPr>
          <w:p w14:paraId="49E3B783">
            <w:pPr>
              <w:jc w:val="center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典型教学用途</w:t>
            </w:r>
          </w:p>
        </w:tc>
        <w:tc>
          <w:tcPr>
            <w:tcW w:w="0" w:type="auto"/>
            <w:vAlign w:val="center"/>
          </w:tcPr>
          <w:p w14:paraId="4004074A">
            <w:pPr>
              <w:jc w:val="center"/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主要风险与注意事项</w:t>
            </w:r>
          </w:p>
        </w:tc>
      </w:tr>
      <w:tr w14:paraId="75B16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1776" w:hRule="atLeast"/>
        </w:trPr>
        <w:tc>
          <w:tcPr>
            <w:tcW w:w="1554" w:type="dxa"/>
            <w:vAlign w:val="center"/>
          </w:tcPr>
          <w:p w14:paraId="73D550A3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文本生成与润色类</w:t>
            </w:r>
          </w:p>
        </w:tc>
        <w:tc>
          <w:tcPr>
            <w:tcW w:w="1693" w:type="dxa"/>
            <w:vAlign w:val="center"/>
          </w:tcPr>
          <w:p w14:paraId="59837985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文本生成、改写、润色、摘要</w:t>
            </w:r>
          </w:p>
        </w:tc>
        <w:tc>
          <w:tcPr>
            <w:tcW w:w="2131" w:type="dxa"/>
            <w:vAlign w:val="center"/>
          </w:tcPr>
          <w:p w14:paraId="23D9CA58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讲义草案、课堂问题设计、作业语言润色建议</w:t>
            </w:r>
          </w:p>
        </w:tc>
        <w:tc>
          <w:tcPr>
            <w:tcW w:w="0" w:type="auto"/>
            <w:vAlign w:val="center"/>
          </w:tcPr>
          <w:p w14:paraId="75346270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容易产生事实错误；易造成学生依赖；须规范披露，严禁代写</w:t>
            </w:r>
          </w:p>
        </w:tc>
      </w:tr>
      <w:tr w14:paraId="1CE01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1776" w:hRule="atLeast"/>
        </w:trPr>
        <w:tc>
          <w:tcPr>
            <w:tcW w:w="1554" w:type="dxa"/>
            <w:vAlign w:val="center"/>
          </w:tcPr>
          <w:p w14:paraId="31A45125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翻译与语言支持类</w:t>
            </w:r>
          </w:p>
        </w:tc>
        <w:tc>
          <w:tcPr>
            <w:tcW w:w="1693" w:type="dxa"/>
            <w:vAlign w:val="center"/>
          </w:tcPr>
          <w:p w14:paraId="07C9C53F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多语种互译、术语对照</w:t>
            </w:r>
          </w:p>
        </w:tc>
        <w:tc>
          <w:tcPr>
            <w:tcW w:w="2131" w:type="dxa"/>
            <w:vAlign w:val="center"/>
          </w:tcPr>
          <w:p w14:paraId="62A0BC54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外文文献初读、双语材料初译、课堂对比翻译</w:t>
            </w:r>
          </w:p>
        </w:tc>
        <w:tc>
          <w:tcPr>
            <w:tcW w:w="0" w:type="auto"/>
            <w:vAlign w:val="center"/>
          </w:tcPr>
          <w:p w14:paraId="4B65D66E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文学、法律等文本易失真；不得将机器译文直接作为作业提交</w:t>
            </w:r>
          </w:p>
        </w:tc>
      </w:tr>
      <w:tr w14:paraId="61489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2355" w:hRule="atLeast"/>
        </w:trPr>
        <w:tc>
          <w:tcPr>
            <w:tcW w:w="1554" w:type="dxa"/>
            <w:vAlign w:val="center"/>
          </w:tcPr>
          <w:p w14:paraId="5B619146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编程与数据分析辅助类</w:t>
            </w:r>
          </w:p>
        </w:tc>
        <w:tc>
          <w:tcPr>
            <w:tcW w:w="1693" w:type="dxa"/>
            <w:vAlign w:val="center"/>
          </w:tcPr>
          <w:p w14:paraId="490F07F1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代码示例、错误提示、统计方法说明</w:t>
            </w:r>
          </w:p>
        </w:tc>
        <w:tc>
          <w:tcPr>
            <w:tcW w:w="2131" w:type="dxa"/>
            <w:vAlign w:val="center"/>
          </w:tcPr>
          <w:p w14:paraId="60B07666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程序设计课程练习、数据分析辅助理解</w:t>
            </w:r>
          </w:p>
        </w:tc>
        <w:tc>
          <w:tcPr>
            <w:tcW w:w="0" w:type="auto"/>
            <w:vAlign w:val="center"/>
          </w:tcPr>
          <w:p w14:paraId="6CBB1CB1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生成代码可能有安全</w:t>
            </w:r>
            <w:r>
              <w:rPr>
                <w:rFonts w:hint="eastAsia" w:ascii="Calibri" w:hAnsi="Calibri" w:eastAsia="仿宋_GB2312" w:cs="Calibri"/>
                <w:sz w:val="32"/>
                <w:szCs w:val="32"/>
              </w:rPr>
              <w:t>漏洞</w:t>
            </w: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或逻辑错误；须与手工</w:t>
            </w:r>
            <w:r>
              <w:rPr>
                <w:rFonts w:hint="eastAsia" w:ascii="Calibri" w:hAnsi="Calibri" w:eastAsia="仿宋_GB2312" w:cs="Calibri"/>
                <w:sz w:val="32"/>
                <w:szCs w:val="32"/>
              </w:rPr>
              <w:t>核验</w:t>
            </w: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、教师讲解结合</w:t>
            </w:r>
          </w:p>
        </w:tc>
      </w:tr>
      <w:tr w14:paraId="137C7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7" w:type="dxa"/>
            <w:left w:w="17" w:type="dxa"/>
            <w:bottom w:w="17" w:type="dxa"/>
            <w:right w:w="17" w:type="dxa"/>
          </w:tblCellMar>
        </w:tblPrEx>
        <w:trPr>
          <w:trHeight w:val="1776" w:hRule="atLeast"/>
        </w:trPr>
        <w:tc>
          <w:tcPr>
            <w:tcW w:w="1554" w:type="dxa"/>
            <w:vAlign w:val="center"/>
          </w:tcPr>
          <w:p w14:paraId="3837C730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多媒体与可视化生成类</w:t>
            </w:r>
          </w:p>
        </w:tc>
        <w:tc>
          <w:tcPr>
            <w:tcW w:w="1693" w:type="dxa"/>
            <w:vAlign w:val="center"/>
          </w:tcPr>
          <w:p w14:paraId="4EE1432B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图像、音视频、海报生成</w:t>
            </w:r>
          </w:p>
        </w:tc>
        <w:tc>
          <w:tcPr>
            <w:tcW w:w="2131" w:type="dxa"/>
            <w:vAlign w:val="center"/>
          </w:tcPr>
          <w:p w14:paraId="32DAB472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教学情境创设、课程海报、项目展示素材</w:t>
            </w:r>
          </w:p>
        </w:tc>
        <w:tc>
          <w:tcPr>
            <w:tcW w:w="0" w:type="auto"/>
            <w:vAlign w:val="center"/>
          </w:tcPr>
          <w:p w14:paraId="0B493B81">
            <w:pPr>
              <w:rPr>
                <w:rFonts w:ascii="Times New Roman" w:hAnsi="Times New Roman" w:eastAsia="仿宋_GB2312" w:cs="仿宋_GB2312"/>
                <w:sz w:val="32"/>
                <w:szCs w:val="32"/>
              </w:rPr>
            </w:pPr>
            <w:r>
              <w:rPr>
                <w:rFonts w:hint="eastAsia" w:ascii="Times New Roman" w:hAnsi="Times New Roman" w:eastAsia="仿宋_GB2312" w:cs="仿宋_GB2312"/>
                <w:sz w:val="32"/>
                <w:szCs w:val="32"/>
              </w:rPr>
              <w:t>涉及肖像权、版权和敏感内容时须审慎；严禁伪造实验结果</w:t>
            </w:r>
          </w:p>
        </w:tc>
      </w:tr>
    </w:tbl>
    <w:p w14:paraId="4D67023D"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Arial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5BEEC0">
    <w:pPr>
      <w:pStyle w:val="4"/>
    </w:pPr>
    <w:r>
      <w:rPr>
        <w:sz w:val="18"/>
      </w:rPr>
      <w:pict>
        <v:shape id="PowerPlusWaterMarkObject841716" o:spid="_x0000_s2049" o:spt="136" type="#_x0000_t136" style="position:absolute;left:0pt;height:24.15pt;width:111pt;mso-position-horizontal:center;mso-position-horizontal-relative:margin;mso-position-vertical:center;mso-position-vertical-relative:margin;z-index:-251656192;mso-width-relative:page;mso-height-relative:page;" fillcolor="#C0C0C0" filled="t" stroked="f" coordsize="21600,21600" adj="10800">
          <v:path/>
          <v:fill on="t" opacity="56360f" focussize="0,0"/>
          <v:stroke on="f"/>
          <v:imagedata o:title=""/>
          <o:lock v:ext="edit" aspectratio="t"/>
          <v:textpath on="t" fitpath="t" trim="t" xscale="f" string="仅供交流探讨" style="font-family:微软雅黑;font-size:24pt;v-same-letter-heights:f;v-text-align:center;"/>
        </v:shape>
      </w:pict>
    </w:r>
    <w:bookmarkStart w:id="0" w:name="_GoBack"/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274310" cy="5266055"/>
          <wp:effectExtent l="0" t="0" r="2540" b="10795"/>
          <wp:wrapNone/>
          <wp:docPr id="1" name="WordPictureWatermark4374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437404"/>
                  <pic:cNvPicPr>
                    <a:picLocks noChangeAspect="1"/>
                  </pic:cNvPicPr>
                </pic:nvPicPr>
                <pic:blipFill>
                  <a:blip r:embed="rId1">
                    <a:lum bright="70000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0" cy="5266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EC7E09"/>
    <w:rsid w:val="02EC7E09"/>
    <w:rsid w:val="DDFF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 WWO_wpscloud_20260121170420-4af9624cc4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2026-01-09T11:31:00Z</dcterms:created>
  <dc:creator>PUYU JIA</dc:creator>
  <cp:lastModifiedBy>PUYU JIA</cp:lastModifiedBy>
  <dcterms:modified xsi:type="dcterms:W3CDTF">2026-01-27T15:38:51Z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2052-12.9.0.25189</vt:lpwstr>
  </property>
  <property fmtid="{D5CDD505-2E9C-101B-9397-08002B2CF9AE}" pid="3" name="ICV">
    <vt:lpwstr>FECCD15E6D1F931E8B6B786902D654F3_43</vt:lpwstr>
  </property>
  <property fmtid="{D5CDD505-2E9C-101B-9397-08002B2CF9AE}" pid="4" name="KSOTemplateDocerSaveRecord">
    <vt:lpwstr>eyJoZGlkIjoiMzEwNTM5NzYwMDRjMzkwZTVkZjY2ODkwMGIxNGU0OTUiLCJ1c2VySWQiOiIyNjg2OTMyNjIifQ==</vt:lpwstr>
  </property>
</Properties>
</file>